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1262" w:tblpY="129"/>
        <w:tblOverlap w:val="never"/>
        <w:tblW w:w="9599" w:type="dxa"/>
        <w:tblInd w:w="0" w:type="dxa"/>
        <w:tblLayout w:type="fixed"/>
        <w:tblCellMar>
          <w:top w:w="0" w:type="dxa"/>
          <w:left w:w="108" w:type="dxa"/>
          <w:bottom w:w="0" w:type="dxa"/>
          <w:right w:w="108" w:type="dxa"/>
        </w:tblCellMar>
      </w:tblPr>
      <w:tblGrid>
        <w:gridCol w:w="9599"/>
      </w:tblGrid>
      <w:tr>
        <w:tblPrEx>
          <w:tblCellMar>
            <w:top w:w="0" w:type="dxa"/>
            <w:left w:w="108" w:type="dxa"/>
            <w:bottom w:w="0" w:type="dxa"/>
            <w:right w:w="108" w:type="dxa"/>
          </w:tblCellMar>
        </w:tblPrEx>
        <w:trPr>
          <w:trHeight w:val="3549" w:hRule="atLeast"/>
        </w:trPr>
        <w:tc>
          <w:tcPr>
            <w:tcW w:w="9599" w:type="dxa"/>
            <w:vAlign w:val="center"/>
          </w:tcPr>
          <w:p>
            <w:pPr>
              <w:snapToGrid w:val="0"/>
              <w:jc w:val="center"/>
              <w:rPr>
                <w:rFonts w:ascii="方正小标宋简体" w:hAnsi="宋体" w:eastAsia="方正小标宋简体"/>
                <w:bCs/>
                <w:spacing w:val="-20"/>
                <w:w w:val="80"/>
                <w:kern w:val="0"/>
                <w:sz w:val="72"/>
                <w:szCs w:val="72"/>
              </w:rPr>
            </w:pPr>
            <w:r>
              <w:rPr>
                <w:rFonts w:hint="eastAsia" w:ascii="方正小标宋简体" w:hAnsi="宋体" w:eastAsia="方正小标宋简体"/>
                <w:color w:val="FF0000"/>
                <w:kern w:val="0"/>
                <w:sz w:val="72"/>
                <w:szCs w:val="72"/>
              </w:rPr>
              <w:t>琼台师范学院学生工作处文件</w:t>
            </w:r>
          </w:p>
        </w:tc>
      </w:tr>
      <w:tr>
        <w:tblPrEx>
          <w:tblCellMar>
            <w:top w:w="0" w:type="dxa"/>
            <w:left w:w="108" w:type="dxa"/>
            <w:bottom w:w="0" w:type="dxa"/>
            <w:right w:w="108" w:type="dxa"/>
          </w:tblCellMar>
        </w:tblPrEx>
        <w:trPr>
          <w:trHeight w:val="1099" w:hRule="atLeast"/>
        </w:trPr>
        <w:tc>
          <w:tcPr>
            <w:tcW w:w="9599" w:type="dxa"/>
          </w:tcPr>
          <w:p>
            <w:pPr>
              <w:jc w:val="center"/>
              <w:rPr>
                <w:rFonts w:ascii="仿宋_GB2312" w:eastAsia="仿宋_GB2312"/>
                <w:sz w:val="32"/>
              </w:rPr>
            </w:pPr>
            <w:r>
              <w:rPr>
                <w:rFonts w:hint="eastAsia" w:ascii="仿宋_GB2312" w:eastAsia="仿宋_GB2312"/>
                <w:sz w:val="32"/>
              </w:rPr>
              <w:t>琼台学工〔2020〕</w:t>
            </w:r>
            <w:r>
              <w:rPr>
                <w:rFonts w:hint="eastAsia" w:ascii="仿宋_GB2312" w:eastAsia="仿宋_GB2312"/>
                <w:sz w:val="32"/>
                <w:lang w:val="en-US" w:eastAsia="zh-CN"/>
              </w:rPr>
              <w:t>14</w:t>
            </w:r>
            <w:r>
              <w:rPr>
                <w:rFonts w:hint="eastAsia" w:ascii="仿宋_GB2312" w:eastAsia="仿宋_GB2312"/>
                <w:sz w:val="32"/>
              </w:rPr>
              <w:t>号</w:t>
            </w:r>
          </w:p>
          <w:p>
            <w:pPr>
              <w:spacing w:line="330" w:lineRule="exact"/>
              <w:jc w:val="center"/>
              <w:rPr>
                <w:rFonts w:ascii="仿宋_GB2312" w:eastAsia="仿宋_GB2312"/>
                <w:color w:val="FF0000"/>
                <w:sz w:val="32"/>
              </w:rPr>
            </w:pPr>
            <w:r>
              <w:pict>
                <v:line id="直接连接符 7" o:spid="_x0000_s1030" o:spt="20" style="position:absolute;left:0pt;margin-left:0.55pt;margin-top:7.35pt;height:0pt;width:447.3pt;z-index:251664384;mso-width-relative:page;mso-height-relative:page;" stroked="t" coordsize="21600,21600" o:gfxdata="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1LZK21QAAAAcBAAAPAAAAAAAAAAEAIAAAACIAAABk&#10;cnMvZG93bnJldi54bWxQSwECFAAUAAAACACHTuJAi0bphNABAABrAwAADgAAAAAAAAABACAAAAAk&#10;AQAAZHJzL2Uyb0RvYy54bWxQSwUGAAAAAAYABgBZAQAAZgUAAAAA&#10;">
                  <v:path arrowok="t"/>
                  <v:fill focussize="0,0"/>
                  <v:stroke weight="2pt" color="#FF0000"/>
                  <v:imagedata o:title=""/>
                  <o:lock v:ext="edit"/>
                </v:line>
              </w:pict>
            </w:r>
          </w:p>
        </w:tc>
      </w:tr>
    </w:tbl>
    <w:p>
      <w:pPr>
        <w:spacing w:line="560" w:lineRule="exact"/>
        <w:ind w:firstLine="866" w:firstLineChars="196"/>
        <w:rPr>
          <w:rFonts w:ascii="宋体" w:hAnsi="宋体" w:cs="宋体"/>
          <w:b/>
          <w:color w:val="000000"/>
          <w:kern w:val="0"/>
          <w:sz w:val="44"/>
          <w:szCs w:val="44"/>
        </w:rPr>
      </w:pPr>
    </w:p>
    <w:p>
      <w:pPr>
        <w:spacing w:line="560" w:lineRule="exact"/>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44"/>
          <w:szCs w:val="44"/>
        </w:rPr>
        <w:t>关于做好我校2020年征兵工作的通知</w:t>
      </w:r>
    </w:p>
    <w:p>
      <w:pPr>
        <w:spacing w:line="560" w:lineRule="exact"/>
        <w:rPr>
          <w:rFonts w:ascii="仿宋" w:hAnsi="仿宋" w:eastAsia="仿宋" w:cs="宋体"/>
          <w:b/>
          <w:color w:val="000000"/>
          <w:kern w:val="0"/>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各二级学院：</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为贯彻落实国家鼓励普通高等学校大学生应征入伍服义务兵役的精神，根据《中华人民共和国兵役法》的相关规定，按照海口市2020年高校征兵宣传任务部署会议的相关要求，现将我校2020年征兵工作通知如下: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一、征集对象及条件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1、征集对象</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在校本专科学生（含2020届毕业生）</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2、征集条件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（1）政治条件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必须拥护党的路线、方针、政策，坚持四项基本原则，热爱中国共产党，热爱祖国，热爱军队，政治历史清楚，遵纪守法，品德优良，乐于奉献，全心全意为人民服务，决心为保卫祖国、保卫人民和平劳动而英勇奋斗。</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（2）身体条件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详情见附件1（应征公民体检标准（摘编））</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(3)年龄条件：</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男： 18-22周岁（即1998.1.1—2002.12.31出生），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2020届本专科毕业生可放宽至24岁（即1996.1.1后出生）</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女： 18-22周岁（即1998.1.1—2002.12.31出生）</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二、征集流程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(一)宣传动员阶段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2020年大学生应征入伍宣传工作从5月全面启动，本次宣传的工作原则是“全员动员，全面覆盖，创新手段，突出重点”。</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1.学校宣传工作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配合当地人民武装部组织征兵政策宣讲活动、设立咨询站，在学生教学楼、宿舍楼张贴征兵工作流程，宣传大学生征兵优待政策，协调上级兵役部门印发征兵手册。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利用校园标语、校园广播、网络、微信公众号等媒体广泛宣传大学生入伍优惠政策，多渠道进行气氛宣传。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2.二级学院宣传动员工作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各二级学院需广泛开展国防教育和征兵政策法规的宣传教育活动，向学生讲清形势、讲清政策、讲清要求，及时提供咨询，通过网站、微信公众号、海报、传单、大屏幕等形式把征兵工作意义、要求、程序、时间安排和国家鼓励高校大学生入伍的各项优惠政策明确告知每一位大学生。</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（1）各二级学院组织主题班会等形式，对大学生应征入伍的意义、条件、国家优惠政策作专题宣讲与动员。同时利用QQ群、微博、微信等方式将征兵政策送达每一个学生，做到宣传全覆盖。</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（2）各二级学院重点对毕业班学生进行宣讲和动员。就大学生应征入伍的相关事项作集中的专门讲解，以利于更多毕业生了解征兵政策。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（3）各二级学院做好有应征入伍意向学生的动员工作。</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（4）各二级学院帮助学生了解报名程序、初检初审程序、政审程序、办理贷款补偿和学费减免程序，让学社知晓参加应征入伍的国家优惠政策；</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（5）各二级学院建立跟踪制度，有参军意向的学生和应征入伍的学生有专人负责联系。</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（二）报名阶段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网上</w:t>
      </w:r>
      <w:r>
        <w:rPr>
          <w:rFonts w:hint="eastAsia" w:ascii="仿宋" w:hAnsi="仿宋" w:eastAsia="仿宋" w:cs="仿宋"/>
          <w:sz w:val="32"/>
          <w:szCs w:val="32"/>
        </w:rPr>
        <w:t>报名时间为即日起至</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20</w:t>
      </w:r>
      <w:r>
        <w:rPr>
          <w:rFonts w:hint="eastAsia" w:ascii="仿宋" w:hAnsi="仿宋" w:eastAsia="仿宋" w:cs="仿宋"/>
          <w:sz w:val="32"/>
          <w:szCs w:val="32"/>
        </w:rPr>
        <w:t>日</w:t>
      </w:r>
      <w:r>
        <w:rPr>
          <w:rFonts w:hint="eastAsia" w:ascii="仿宋" w:hAnsi="仿宋" w:eastAsia="仿宋" w:cs="仿宋"/>
          <w:sz w:val="32"/>
          <w:szCs w:val="32"/>
          <w:lang w:eastAsia="zh-CN"/>
        </w:rPr>
        <w:t>（因秀英区武装部初定体检时间为</w:t>
      </w:r>
      <w:r>
        <w:rPr>
          <w:rFonts w:hint="eastAsia" w:ascii="仿宋" w:hAnsi="仿宋" w:eastAsia="仿宋" w:cs="仿宋"/>
          <w:sz w:val="32"/>
          <w:szCs w:val="32"/>
          <w:lang w:val="en-US" w:eastAsia="zh-CN"/>
        </w:rPr>
        <w:t>6月下旬</w:t>
      </w:r>
      <w:bookmarkStart w:id="0" w:name="_GoBack"/>
      <w:bookmarkEnd w:id="0"/>
      <w:r>
        <w:rPr>
          <w:rFonts w:hint="eastAsia" w:ascii="仿宋" w:hAnsi="仿宋" w:eastAsia="仿宋" w:cs="仿宋"/>
          <w:sz w:val="32"/>
          <w:szCs w:val="32"/>
          <w:lang w:eastAsia="zh-CN"/>
        </w:rPr>
        <w:t>）</w:t>
      </w:r>
      <w:r>
        <w:rPr>
          <w:rFonts w:hint="eastAsia" w:ascii="仿宋" w:hAnsi="仿宋" w:eastAsia="仿宋" w:cs="仿宋"/>
          <w:sz w:val="32"/>
          <w:szCs w:val="32"/>
        </w:rPr>
        <w:t>，由本人实行网上报名登记</w:t>
      </w:r>
      <w:r>
        <w:rPr>
          <w:rFonts w:hint="eastAsia" w:ascii="仿宋" w:hAnsi="仿宋" w:eastAsia="仿宋" w:cs="仿宋"/>
          <w:sz w:val="32"/>
          <w:szCs w:val="32"/>
          <w:lang w:eastAsia="zh-CN"/>
        </w:rPr>
        <w:t>。</w:t>
      </w:r>
      <w:r>
        <w:rPr>
          <w:rFonts w:hint="eastAsia" w:ascii="仿宋" w:hAnsi="仿宋" w:eastAsia="仿宋" w:cs="仿宋"/>
          <w:sz w:val="32"/>
          <w:szCs w:val="32"/>
        </w:rPr>
        <w:t>持4张1寸彩照（背面填写本人姓名）到所在二级学院辅导员办公室填写报名登记表。（女兵先校内报名，统一参加体检、政审后，待全国征兵系统女兵网上报名窗口开放后，在登陆网上报名）。 各二级学院于6月22日下午下班前，将琼台师范学院2020年夏秋季征兵送检花名册（附件2）、贴照片底版（附件3），报至学生处112办公室冯老师处（咨询电话：65900873冯老师）。学生处将组织人员对报名应征学生进行目测摸底工作，并提出参加征兵体检学生名单，编制花名册上报秀英区武装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2、回生源户籍所在地报名征兵的学生。以当地人民武装部通知为准。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3、网上征兵登记流程</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（1）在百度上搜索“全国征兵网”登录或直接输入网址登录（ http://www.gfbzb.gov.cn）。</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（2）进入“全国征兵网”，打开网页后，网页左上方有“应征报名”窗口，点击进入。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（3） 再点击“进行应征报名”，出现“登录（请输入学信网账号进行登录）”，使用自己的学信网账号和密码登录。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（4）完善实名信息：核实学信网的信息是否有误。</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5）网上填写应征报名登记信息时请注意：①按项目进行填写（有红色*号的必填，其他非红色的重要信息也填）。②“学校所在地”及“参军信息-选择应征地”栏目选择“海南省海口市秀英区-琼台师范学院”（因我校户籍所属辖区划分至秀英区），“学校资助部门地址”填写“海南省海口市桂林洋大学城琼台师范学院学生工作处”。  </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（6）在征兵网上填写基本信息报名，填写的信息务必真实、准确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（三）体检阶段</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6月下旬</w:t>
      </w:r>
      <w:r>
        <w:rPr>
          <w:rFonts w:hint="eastAsia" w:ascii="仿宋" w:hAnsi="仿宋" w:eastAsia="仿宋" w:cs="仿宋"/>
          <w:sz w:val="32"/>
          <w:szCs w:val="32"/>
        </w:rPr>
        <w:t>由海口市秀英区人民武装部组织应征同学到指定医院进行初检，7月底前完成复检。</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（四）政治考核和预定兵阶段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7月底前完成入伍对象的政治考核。二级学院作为政审工作第一责任单位，负责学生在校期间政治表现和学业情况进行的审查；学生处联系公安机关进行网上比对联审；教务处对学历学籍情况进行资格审查并做好学籍变动；财务处和学生资助管理中心对缴纳学费和贷款情况予以核对，并办理后续入伍学生学费补偿等相关工作；校长办公室档案科要对有征兵意向的学生办理户档留存。</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（五）定兵</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经政治审查、体格检查合格并符合征集条件的，由上级征兵办公室批准入伍。8月底高校应征入伍学生定兵。</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三、工作要求</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（一）完善机构，组建队伍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各二级学院成立以党总支书记为组长、学生工作办公室主任、辅导员等担任成员的征兵工作小组，具体负责本二级学院征兵工作的组织工作。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（二）提高认识，高度重视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二级学院要明确大学生应征入伍服兵役既是每个适龄青年的义务，也是青年学生健康成长成才之路，要有高度的政治责任感和使命感，全力做好相关工作。要动员优秀大学生从国家需要、事业发展、个人成长的角度出发，积极参与征兵工作。</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（三）广泛宣传，深入开展国防教育</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各二级学院要在大学生中广泛开展国防教育和兵役法规宣传教育。要通过讲座、网络、文体活动、主题党团日活动等多种宣传方式，把大学生征兵工作的要求、程序、时间安排及优抚政策告知到每一位大学生。要抓住大学生征兵的有利时机，对本二级学院大学生深入开展有针对性的国防教育活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（四）精心组织，主动服务</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二级学院要严格按照本实施意见的工作安排，把握好征兵工作的时间节点，对征兵工作进行精心的组织实施。主动服务，抓紧时间，切实配合做好报名同学的体检、政审工作，确保输送合格兵员。及时办理参军入伍学生学业成绩审核手续及学籍变动，解除学生后顾之忧。</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四、几点说明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（一）在校生回学生本人户籍所在地自行报名入伍，各二级学院需做《校外自行报名征兵入伍学生备案表》(附件4)登记，以便以后学生处进行学费补偿贷款代偿，避免疏漏。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（二）因征兵体检及政审过程期间，时间紧凑，征兵部门指令随时下达。各二级学院务必指定一名辅导员负责此事，并叮嘱学生自报名起至定兵入伍期间，联系电话必须24小时内属于正常使用状态内。</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附件1：应征公民体格检查标准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附件2：琼台</w:t>
      </w:r>
      <w:r>
        <w:rPr>
          <w:rFonts w:hint="eastAsia" w:ascii="仿宋" w:hAnsi="仿宋" w:eastAsia="仿宋" w:cs="仿宋"/>
          <w:sz w:val="32"/>
          <w:szCs w:val="32"/>
          <w:lang w:eastAsia="zh-CN"/>
        </w:rPr>
        <w:t>师范学院</w:t>
      </w:r>
      <w:r>
        <w:rPr>
          <w:rFonts w:hint="eastAsia" w:ascii="仿宋" w:hAnsi="仿宋" w:eastAsia="仿宋" w:cs="仿宋"/>
          <w:sz w:val="32"/>
          <w:szCs w:val="32"/>
          <w:lang w:val="en-US" w:eastAsia="zh-CN"/>
        </w:rPr>
        <w:t>2020年</w:t>
      </w:r>
      <w:r>
        <w:rPr>
          <w:rFonts w:hint="eastAsia" w:ascii="仿宋" w:hAnsi="仿宋" w:eastAsia="仿宋" w:cs="仿宋"/>
          <w:sz w:val="32"/>
          <w:szCs w:val="32"/>
        </w:rPr>
        <w:t>征兵送检花名册</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附件3：贴照片底版</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附件4：校外自行报名征兵入伍学生备案表</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5：琼台2020春季征兵咨询群（二维码）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附件6：琼台师范学院 鼓励学生应征入伍实施办法</w:t>
      </w:r>
    </w:p>
    <w:p>
      <w:pPr>
        <w:widowControl/>
        <w:jc w:val="left"/>
        <w:rPr>
          <w:rFonts w:hint="eastAsia" w:ascii="仿宋" w:hAnsi="仿宋" w:eastAsia="仿宋" w:cs="宋体"/>
          <w:color w:val="000000"/>
          <w:kern w:val="0"/>
          <w:sz w:val="32"/>
          <w:szCs w:val="32"/>
        </w:rPr>
      </w:pPr>
    </w:p>
    <w:p>
      <w:pPr>
        <w:spacing w:line="560" w:lineRule="exact"/>
        <w:rPr>
          <w:rFonts w:ascii="仿宋" w:hAnsi="仿宋" w:eastAsia="仿宋" w:cs="宋体"/>
          <w:b/>
          <w:color w:val="000000"/>
          <w:kern w:val="0"/>
          <w:sz w:val="28"/>
          <w:szCs w:val="28"/>
        </w:rPr>
      </w:pPr>
    </w:p>
    <w:p>
      <w:pPr>
        <w:tabs>
          <w:tab w:val="left" w:pos="235"/>
        </w:tabs>
        <w:spacing w:line="560" w:lineRule="exact"/>
        <w:ind w:firstLine="689" w:firstLineChars="245"/>
        <w:rPr>
          <w:rFonts w:hint="eastAsia" w:ascii="仿宋_GB2312" w:hAnsi="仿宋_GB2312" w:eastAsia="仿宋_GB2312" w:cs="仿宋_GB2312"/>
          <w:b w:val="0"/>
          <w:bCs/>
          <w:color w:val="000000"/>
          <w:kern w:val="0"/>
          <w:sz w:val="32"/>
          <w:szCs w:val="32"/>
          <w:lang w:val="en-US" w:eastAsia="zh-CN"/>
        </w:rPr>
      </w:pPr>
      <w:r>
        <w:rPr>
          <w:rFonts w:hint="eastAsia" w:ascii="仿宋" w:hAnsi="仿宋" w:eastAsia="仿宋" w:cs="宋体"/>
          <w:b/>
          <w:color w:val="000000"/>
          <w:kern w:val="0"/>
          <w:sz w:val="28"/>
          <w:szCs w:val="28"/>
          <w:lang w:eastAsia="zh-CN"/>
        </w:rPr>
        <w:tab/>
      </w:r>
      <w:r>
        <w:rPr>
          <w:rFonts w:hint="eastAsia" w:ascii="仿宋" w:hAnsi="仿宋" w:eastAsia="仿宋" w:cs="宋体"/>
          <w:b/>
          <w:color w:val="000000"/>
          <w:kern w:val="0"/>
          <w:sz w:val="28"/>
          <w:szCs w:val="28"/>
          <w:lang w:val="en-US" w:eastAsia="zh-CN"/>
        </w:rPr>
        <w:t xml:space="preserve">                               </w:t>
      </w:r>
      <w:r>
        <w:rPr>
          <w:rFonts w:hint="eastAsia" w:ascii="仿宋_GB2312" w:hAnsi="仿宋_GB2312" w:eastAsia="仿宋_GB2312" w:cs="仿宋_GB2312"/>
          <w:b w:val="0"/>
          <w:bCs/>
          <w:color w:val="000000"/>
          <w:kern w:val="0"/>
          <w:sz w:val="32"/>
          <w:szCs w:val="32"/>
          <w:lang w:val="en-US" w:eastAsia="zh-CN"/>
        </w:rPr>
        <w:t xml:space="preserve">  2020年6月1日</w:t>
      </w:r>
    </w:p>
    <w:p>
      <w:pPr>
        <w:spacing w:line="560" w:lineRule="exact"/>
        <w:ind w:firstLine="689" w:firstLineChars="245"/>
        <w:rPr>
          <w:rFonts w:ascii="仿宋" w:hAnsi="仿宋" w:eastAsia="仿宋" w:cs="宋体"/>
          <w:b/>
          <w:color w:val="000000"/>
          <w:kern w:val="0"/>
          <w:sz w:val="28"/>
          <w:szCs w:val="28"/>
        </w:rPr>
      </w:pPr>
    </w:p>
    <w:p>
      <w:pPr>
        <w:spacing w:line="560" w:lineRule="exact"/>
        <w:ind w:firstLine="689" w:firstLineChars="245"/>
        <w:rPr>
          <w:rFonts w:hint="eastAsia" w:ascii="仿宋" w:hAnsi="仿宋" w:eastAsia="仿宋" w:cs="宋体"/>
          <w:b/>
          <w:color w:val="000000"/>
          <w:kern w:val="0"/>
          <w:sz w:val="28"/>
          <w:szCs w:val="28"/>
        </w:rPr>
      </w:pPr>
    </w:p>
    <w:p>
      <w:pPr>
        <w:spacing w:line="560" w:lineRule="exact"/>
        <w:ind w:firstLine="689" w:firstLineChars="245"/>
        <w:rPr>
          <w:rFonts w:hint="eastAsia" w:ascii="仿宋" w:hAnsi="仿宋" w:eastAsia="仿宋" w:cs="宋体"/>
          <w:b/>
          <w:color w:val="000000"/>
          <w:kern w:val="0"/>
          <w:sz w:val="28"/>
          <w:szCs w:val="28"/>
        </w:rPr>
      </w:pPr>
    </w:p>
    <w:p>
      <w:pPr>
        <w:spacing w:line="560" w:lineRule="exact"/>
        <w:ind w:firstLine="689" w:firstLineChars="245"/>
        <w:rPr>
          <w:rFonts w:hint="eastAsia" w:ascii="仿宋" w:hAnsi="仿宋" w:eastAsia="仿宋" w:cs="宋体"/>
          <w:b/>
          <w:color w:val="000000"/>
          <w:kern w:val="0"/>
          <w:sz w:val="28"/>
          <w:szCs w:val="28"/>
        </w:rPr>
      </w:pPr>
    </w:p>
    <w:p>
      <w:pPr>
        <w:spacing w:line="560" w:lineRule="exact"/>
        <w:ind w:firstLine="689" w:firstLineChars="245"/>
        <w:rPr>
          <w:rFonts w:ascii="仿宋" w:hAnsi="仿宋" w:eastAsia="仿宋" w:cs="宋体"/>
          <w:b/>
          <w:color w:val="000000"/>
          <w:kern w:val="0"/>
          <w:sz w:val="28"/>
          <w:szCs w:val="28"/>
        </w:rPr>
      </w:pPr>
    </w:p>
    <w:p>
      <w:pPr>
        <w:spacing w:line="560" w:lineRule="exact"/>
        <w:ind w:firstLine="689" w:firstLineChars="245"/>
        <w:rPr>
          <w:rFonts w:ascii="仿宋" w:hAnsi="仿宋" w:eastAsia="仿宋" w:cs="宋体"/>
          <w:b/>
          <w:color w:val="000000"/>
          <w:kern w:val="0"/>
          <w:sz w:val="28"/>
          <w:szCs w:val="28"/>
        </w:rPr>
      </w:pPr>
    </w:p>
    <w:p>
      <w:pPr>
        <w:spacing w:line="560" w:lineRule="exact"/>
        <w:ind w:firstLine="689" w:firstLineChars="245"/>
        <w:rPr>
          <w:rFonts w:ascii="仿宋" w:hAnsi="仿宋" w:eastAsia="仿宋" w:cs="宋体"/>
          <w:b/>
          <w:color w:val="000000"/>
          <w:kern w:val="0"/>
          <w:sz w:val="28"/>
          <w:szCs w:val="28"/>
        </w:rPr>
      </w:pPr>
    </w:p>
    <w:p>
      <w:pPr>
        <w:spacing w:line="580" w:lineRule="exact"/>
        <w:rPr>
          <w:rFonts w:ascii="仿宋" w:hAnsi="仿宋" w:eastAsia="仿宋" w:cs="宋体"/>
          <w:color w:val="000000"/>
          <w:kern w:val="0"/>
          <w:sz w:val="32"/>
          <w:szCs w:val="32"/>
        </w:rPr>
      </w:pPr>
      <w:r>
        <w:rPr>
          <w:rFonts w:ascii="仿宋" w:hAnsi="仿宋" w:eastAsia="仿宋" w:cs="宋体"/>
          <w:color w:val="000000"/>
          <w:kern w:val="0"/>
          <w:sz w:val="32"/>
          <w:szCs w:val="32"/>
        </w:rPr>
        <w:pict>
          <v:line id="_x0000_s1028" o:spid="_x0000_s1028" o:spt="20" style="position:absolute;left:0pt;margin-left:-9pt;margin-top:32pt;height:0pt;width:441pt;z-index:251662336;mso-width-relative:page;mso-height-relative:page;" coordsize="21600,21600">
            <v:path arrowok="t"/>
            <v:fill focussize="0,0"/>
            <v:stroke weight="1pt"/>
            <v:imagedata o:title=""/>
            <o:lock v:ext="edit"/>
          </v:line>
        </w:pict>
      </w:r>
      <w:r>
        <w:rPr>
          <w:rFonts w:ascii="仿宋" w:hAnsi="仿宋" w:eastAsia="仿宋" w:cs="宋体"/>
          <w:color w:val="000000"/>
          <w:kern w:val="0"/>
          <w:sz w:val="32"/>
          <w:szCs w:val="32"/>
        </w:rPr>
        <w:pict>
          <v:line id="_x0000_s1027" o:spid="_x0000_s1027" o:spt="20" style="position:absolute;left:0pt;margin-left:-9pt;margin-top:4pt;height:0pt;width:441pt;z-index:251661312;mso-width-relative:page;mso-height-relative:page;" coordsize="21600,21600">
            <v:path arrowok="t"/>
            <v:fill focussize="0,0"/>
            <v:stroke weight="1pt"/>
            <v:imagedata o:title=""/>
            <o:lock v:ext="edit"/>
          </v:line>
        </w:pict>
      </w:r>
      <w:r>
        <w:rPr>
          <w:rFonts w:hint="eastAsia" w:ascii="仿宋" w:hAnsi="仿宋" w:eastAsia="仿宋"/>
          <w:sz w:val="32"/>
          <w:szCs w:val="32"/>
        </w:rPr>
        <w:t xml:space="preserve">琼台师范学院学生工作处        </w:t>
      </w:r>
      <w:r>
        <w:rPr>
          <w:rFonts w:hint="eastAsia" w:ascii="仿宋" w:hAnsi="仿宋" w:eastAsia="仿宋" w:cs="宋体"/>
          <w:color w:val="000000"/>
          <w:kern w:val="0"/>
          <w:sz w:val="32"/>
          <w:szCs w:val="32"/>
        </w:rPr>
        <w:t>2020年</w:t>
      </w:r>
      <w:r>
        <w:rPr>
          <w:rFonts w:hint="eastAsia" w:ascii="仿宋" w:hAnsi="仿宋" w:eastAsia="仿宋" w:cs="宋体"/>
          <w:color w:val="000000"/>
          <w:kern w:val="0"/>
          <w:sz w:val="32"/>
          <w:szCs w:val="32"/>
          <w:lang w:val="en-US" w:eastAsia="zh-CN"/>
        </w:rPr>
        <w:t>6</w:t>
      </w:r>
      <w:r>
        <w:rPr>
          <w:rFonts w:hint="eastAsia" w:ascii="仿宋" w:hAnsi="仿宋" w:eastAsia="仿宋" w:cs="宋体"/>
          <w:color w:val="000000"/>
          <w:kern w:val="0"/>
          <w:sz w:val="32"/>
          <w:szCs w:val="32"/>
        </w:rPr>
        <w:t>月</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AA"/>
    <w:rsid w:val="000271B5"/>
    <w:rsid w:val="00052BF4"/>
    <w:rsid w:val="00072C66"/>
    <w:rsid w:val="001079F2"/>
    <w:rsid w:val="001213D6"/>
    <w:rsid w:val="00144E15"/>
    <w:rsid w:val="001612CF"/>
    <w:rsid w:val="001E3EAD"/>
    <w:rsid w:val="00323D1C"/>
    <w:rsid w:val="0035474F"/>
    <w:rsid w:val="003A4FC3"/>
    <w:rsid w:val="003B1DB3"/>
    <w:rsid w:val="003B7854"/>
    <w:rsid w:val="003D25D2"/>
    <w:rsid w:val="004000FB"/>
    <w:rsid w:val="00413C2F"/>
    <w:rsid w:val="00422FD7"/>
    <w:rsid w:val="00491893"/>
    <w:rsid w:val="004F398C"/>
    <w:rsid w:val="004F3EEA"/>
    <w:rsid w:val="005303F6"/>
    <w:rsid w:val="00535DD9"/>
    <w:rsid w:val="00547326"/>
    <w:rsid w:val="00572AE2"/>
    <w:rsid w:val="00572E21"/>
    <w:rsid w:val="00577AEE"/>
    <w:rsid w:val="00586F16"/>
    <w:rsid w:val="005C3031"/>
    <w:rsid w:val="00627157"/>
    <w:rsid w:val="00644663"/>
    <w:rsid w:val="00671A31"/>
    <w:rsid w:val="006943A7"/>
    <w:rsid w:val="006F017B"/>
    <w:rsid w:val="007964BD"/>
    <w:rsid w:val="00837888"/>
    <w:rsid w:val="00852E57"/>
    <w:rsid w:val="00875C07"/>
    <w:rsid w:val="0088575D"/>
    <w:rsid w:val="008870C8"/>
    <w:rsid w:val="008976B5"/>
    <w:rsid w:val="00960379"/>
    <w:rsid w:val="009833AA"/>
    <w:rsid w:val="00994DA2"/>
    <w:rsid w:val="009A5801"/>
    <w:rsid w:val="009A6938"/>
    <w:rsid w:val="00A2668F"/>
    <w:rsid w:val="00A96513"/>
    <w:rsid w:val="00AD3967"/>
    <w:rsid w:val="00B20F68"/>
    <w:rsid w:val="00B774C0"/>
    <w:rsid w:val="00B8279C"/>
    <w:rsid w:val="00B91AF6"/>
    <w:rsid w:val="00B91C3C"/>
    <w:rsid w:val="00BC0025"/>
    <w:rsid w:val="00BD7765"/>
    <w:rsid w:val="00C10111"/>
    <w:rsid w:val="00C43BD8"/>
    <w:rsid w:val="00C459BF"/>
    <w:rsid w:val="00C8301A"/>
    <w:rsid w:val="00CA0AD2"/>
    <w:rsid w:val="00CA0FEE"/>
    <w:rsid w:val="00CD5156"/>
    <w:rsid w:val="00CF49F3"/>
    <w:rsid w:val="00D2655C"/>
    <w:rsid w:val="00D3245B"/>
    <w:rsid w:val="00D50923"/>
    <w:rsid w:val="00DE2B0E"/>
    <w:rsid w:val="00E0769F"/>
    <w:rsid w:val="00E735A3"/>
    <w:rsid w:val="00F51DA7"/>
    <w:rsid w:val="00F53B6B"/>
    <w:rsid w:val="00FB55D5"/>
    <w:rsid w:val="00FD5AA7"/>
    <w:rsid w:val="16C51F15"/>
    <w:rsid w:val="1CD4788E"/>
    <w:rsid w:val="2CA53085"/>
    <w:rsid w:val="4FF007A3"/>
    <w:rsid w:val="69FB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bCs/>
    </w:rPr>
  </w:style>
  <w:style w:type="character" w:styleId="9">
    <w:name w:val="Hyperlink"/>
    <w:basedOn w:val="7"/>
    <w:qFormat/>
    <w:uiPriority w:val="0"/>
    <w:rPr>
      <w:color w:val="0000FF"/>
      <w:u w:val="single"/>
    </w:rPr>
  </w:style>
  <w:style w:type="character" w:customStyle="1" w:styleId="10">
    <w:name w:val="页眉 Char"/>
    <w:basedOn w:val="7"/>
    <w:link w:val="4"/>
    <w:semiHidden/>
    <w:uiPriority w:val="99"/>
    <w:rPr>
      <w:rFonts w:ascii="Times New Roman" w:hAnsi="Times New Roman" w:eastAsia="宋体" w:cs="Times New Roman"/>
      <w:sz w:val="18"/>
      <w:szCs w:val="18"/>
    </w:rPr>
  </w:style>
  <w:style w:type="character" w:customStyle="1" w:styleId="11">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209</Words>
  <Characters>1195</Characters>
  <Lines>9</Lines>
  <Paragraphs>2</Paragraphs>
  <TotalTime>3</TotalTime>
  <ScaleCrop>false</ScaleCrop>
  <LinksUpToDate>false</LinksUpToDate>
  <CharactersWithSpaces>1402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2018-10-22T02:13:00Z</dcterms:created>
  <dc:creator>lenovo</dc:creator>
  <cp:lastModifiedBy>冯华</cp:lastModifiedBy>
  <dcterms:modified xsi:type="dcterms:W3CDTF">2020-06-02T02:54:31Z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